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黑体" w:hAnsi="黑体" w:eastAsia="黑体" w:cs="黑体"/>
          <w:spacing w:val="10"/>
          <w:sz w:val="32"/>
          <w:szCs w:val="32"/>
        </w:rPr>
      </w:pPr>
      <w:r>
        <w:rPr>
          <w:rFonts w:hint="eastAsia" w:ascii="黑体" w:hAnsi="黑体" w:eastAsia="黑体" w:cs="黑体"/>
          <w:spacing w:val="10"/>
          <w:sz w:val="32"/>
          <w:szCs w:val="32"/>
        </w:rPr>
        <w:t>附件2</w:t>
      </w:r>
      <w:bookmarkStart w:id="0" w:name="_GoBack"/>
      <w:bookmarkEnd w:id="0"/>
    </w:p>
    <w:p>
      <w:pPr>
        <w:snapToGrid w:val="0"/>
        <w:spacing w:line="360" w:lineRule="auto"/>
        <w:ind w:firstLine="923" w:firstLineChars="200"/>
        <w:jc w:val="center"/>
        <w:rPr>
          <w:rFonts w:ascii="方正小标宋简体" w:hAnsi="方正小标宋简体" w:eastAsia="方正小标宋简体" w:cs="方正小标宋简体"/>
          <w:b/>
          <w:spacing w:val="10"/>
          <w:kern w:val="0"/>
          <w:sz w:val="44"/>
          <w:szCs w:val="44"/>
        </w:rPr>
      </w:pPr>
      <w:r>
        <w:rPr>
          <w:rFonts w:hint="eastAsia" w:ascii="方正小标宋简体" w:hAnsi="方正小标宋简体" w:eastAsia="方正小标宋简体" w:cs="方正小标宋简体"/>
          <w:b/>
          <w:spacing w:val="10"/>
          <w:kern w:val="0"/>
          <w:sz w:val="44"/>
          <w:szCs w:val="44"/>
          <w:lang w:bidi="ar"/>
        </w:rPr>
        <w:t>评标方法</w:t>
      </w:r>
    </w:p>
    <w:p>
      <w:pPr>
        <w:snapToGrid w:val="0"/>
        <w:spacing w:line="360" w:lineRule="auto"/>
        <w:jc w:val="left"/>
        <w:rPr>
          <w:rFonts w:ascii="仿宋_GB2312" w:hAnsi="仿宋" w:eastAsia="仿宋_GB2312" w:cs="仿宋_GB2312"/>
          <w:spacing w:val="10"/>
          <w:kern w:val="0"/>
          <w:sz w:val="28"/>
          <w:szCs w:val="28"/>
          <w:lang w:bidi="ar"/>
        </w:rPr>
      </w:pPr>
      <w:r>
        <w:rPr>
          <w:rFonts w:hint="eastAsia" w:ascii="仿宋_GB2312" w:hAnsi="仿宋" w:eastAsia="仿宋_GB2312" w:cs="仿宋_GB2312"/>
          <w:spacing w:val="10"/>
          <w:kern w:val="0"/>
          <w:sz w:val="28"/>
          <w:szCs w:val="28"/>
          <w:lang w:bidi="ar"/>
        </w:rPr>
        <w:t>评标方法为综合评分法。</w:t>
      </w:r>
    </w:p>
    <w:p>
      <w:pPr>
        <w:snapToGrid w:val="0"/>
        <w:spacing w:line="360" w:lineRule="auto"/>
        <w:jc w:val="left"/>
        <w:rPr>
          <w:rFonts w:ascii="仿宋_GB2312" w:hAnsi="仿宋" w:eastAsia="仿宋_GB2312" w:cs="仿宋_GB2312"/>
          <w:spacing w:val="10"/>
          <w:kern w:val="0"/>
          <w:sz w:val="28"/>
          <w:szCs w:val="28"/>
        </w:rPr>
      </w:pPr>
      <w:r>
        <w:rPr>
          <w:rFonts w:hint="eastAsia" w:ascii="仿宋_GB2312" w:hAnsi="仿宋" w:eastAsia="仿宋_GB2312" w:cs="仿宋_GB2312"/>
          <w:spacing w:val="10"/>
          <w:kern w:val="0"/>
          <w:sz w:val="28"/>
          <w:szCs w:val="28"/>
          <w:lang w:bidi="ar"/>
        </w:rPr>
        <w:t>评审小组会按综合得分由高到低的顺序排出各有效投标的名次，得分最高的投标人为本项目中标人。</w:t>
      </w:r>
    </w:p>
    <w:tbl>
      <w:tblPr>
        <w:tblStyle w:val="7"/>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8"/>
        <w:gridCol w:w="562"/>
        <w:gridCol w:w="1207"/>
        <w:gridCol w:w="69"/>
        <w:gridCol w:w="739"/>
        <w:gridCol w:w="967"/>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序号</w:t>
            </w:r>
          </w:p>
        </w:tc>
        <w:tc>
          <w:tcPr>
            <w:tcW w:w="3544"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评分项</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1</w:t>
            </w:r>
          </w:p>
        </w:tc>
        <w:tc>
          <w:tcPr>
            <w:tcW w:w="3544"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价格</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08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lang w:bidi="ar"/>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2</w:t>
            </w:r>
          </w:p>
        </w:tc>
        <w:tc>
          <w:tcPr>
            <w:tcW w:w="3832" w:type="dxa"/>
            <w:gridSpan w:val="6"/>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技术部分</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nil"/>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序号</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评分因素</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权重</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评分方式</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1</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项目实施方案</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lang w:bidi="ar"/>
              </w:rPr>
            </w:pPr>
            <w:r>
              <w:rPr>
                <w:rFonts w:hint="eastAsia" w:ascii="仿宋_GB2312" w:eastAsia="仿宋_GB2312" w:cs="仿宋_GB2312"/>
                <w:b/>
                <w:spacing w:val="10"/>
                <w:sz w:val="24"/>
                <w:szCs w:val="28"/>
                <w:lang w:bidi="ar"/>
              </w:rPr>
              <w:t>评审内容</w:t>
            </w:r>
            <w:r>
              <w:rPr>
                <w:rFonts w:hint="eastAsia" w:ascii="仿宋_GB2312" w:eastAsia="仿宋_GB2312" w:cs="仿宋_GB2312"/>
                <w:spacing w:val="10"/>
                <w:sz w:val="24"/>
                <w:szCs w:val="28"/>
                <w:lang w:bidi="ar"/>
              </w:rPr>
              <w:t>：根据招标文件的需求，和投标文件响应情况，制定相应的工作方案，须包括下述内容：</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1.工作措施；</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2.工作方法；</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3.工作手段；</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4.工作流程。</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满足以上四项要求得7分，满足以上三项要求得4分，满足以上两项要求得2分，未满足不得分。</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在此基础上，专家根据各投标人的具体响应内容按照量化的评审因素指标进一步评审；</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1.有具体的时间节点和步骤；</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2.有具体的人员安排及明确的分工；</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3.对突发情况有具体的应对措施。</w:t>
            </w:r>
          </w:p>
          <w:p>
            <w:pPr>
              <w:snapToGrid w:val="0"/>
              <w:jc w:val="left"/>
              <w:rPr>
                <w:rFonts w:ascii="仿宋_GB2312" w:eastAsia="仿宋_GB2312"/>
                <w:spacing w:val="10"/>
                <w:sz w:val="24"/>
                <w:szCs w:val="28"/>
              </w:rPr>
            </w:pPr>
            <w:r>
              <w:rPr>
                <w:rFonts w:hint="eastAsia" w:ascii="仿宋_GB2312" w:eastAsia="仿宋_GB2312" w:cs="仿宋_GB2312"/>
                <w:spacing w:val="10"/>
                <w:sz w:val="24"/>
                <w:szCs w:val="28"/>
                <w:lang w:bidi="ar"/>
              </w:rPr>
              <w:t>每体现一点内容加1分，最多加3分。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2</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项目重点难点分析、应对措施及相关的合理化建议</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lang w:bidi="ar"/>
              </w:rPr>
            </w:pPr>
            <w:r>
              <w:rPr>
                <w:rFonts w:hint="eastAsia" w:ascii="仿宋_GB2312" w:eastAsia="仿宋_GB2312" w:cs="仿宋_GB2312"/>
                <w:b/>
                <w:spacing w:val="10"/>
                <w:sz w:val="24"/>
                <w:szCs w:val="28"/>
                <w:lang w:bidi="ar"/>
              </w:rPr>
              <w:t>评审内容</w:t>
            </w:r>
            <w:r>
              <w:rPr>
                <w:rFonts w:hint="eastAsia" w:ascii="仿宋_GB2312" w:eastAsia="仿宋_GB2312" w:cs="仿宋_GB2312"/>
                <w:spacing w:val="10"/>
                <w:sz w:val="24"/>
                <w:szCs w:val="28"/>
                <w:lang w:bidi="ar"/>
              </w:rPr>
              <w:t>：能否清晰阐述项目重点难点，并从工作主要职责、资源调动、综合统筹等方向提出应对措施或合理化建议。须包含下述内容：</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1.重点难点分析；</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2.应对措施；</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3.合理化建议。</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满足以上三项要求得7分，满足以上二项要求得4分，满足以上一项要求得2分，未满足不得分。</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在此基础上，专家根据各供应商的具体响应内容按照量化的评审因素指标进一步评审；</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1.从前瞻性、系统性等角度研判重难点；</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2.从可实施、可操作的角度提出应对措施；</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3.多角度、有针对性的提出操作方案和指引；</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每体现一点内容加1分，最多加3分。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3</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质量保障方案</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lang w:bidi="ar"/>
              </w:rPr>
            </w:pPr>
            <w:r>
              <w:rPr>
                <w:rFonts w:hint="eastAsia" w:ascii="仿宋_GB2312" w:eastAsia="仿宋_GB2312" w:cs="仿宋_GB2312"/>
                <w:b/>
                <w:spacing w:val="10"/>
                <w:sz w:val="24"/>
                <w:szCs w:val="28"/>
                <w:lang w:bidi="ar"/>
              </w:rPr>
              <w:t>评审内容</w:t>
            </w:r>
            <w:r>
              <w:rPr>
                <w:rFonts w:hint="eastAsia" w:ascii="仿宋_GB2312" w:eastAsia="仿宋_GB2312" w:cs="仿宋_GB2312"/>
                <w:spacing w:val="10"/>
                <w:sz w:val="24"/>
                <w:szCs w:val="28"/>
                <w:lang w:bidi="ar"/>
              </w:rPr>
              <w:t>：由投标人做出与本项目实际情况贴切，须包含下述内容：</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1.组织管理；</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2.申请材料信息准确性；</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3.进度控制。</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满足以上三项要求得6分，满足以上二项要求得4分，满足以上一项要求得2分，未满足不得分。</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在此基础上，专家根据各供应商的具体响应内容按照量化的评审因素指标进一步评审；</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lang w:bidi="ar"/>
              </w:rPr>
              <w:t>1.质量保障措施方案中对采购人提供增值服务，每提供1项加1分，最高加4分。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4</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spacing w:val="10"/>
                <w:sz w:val="22"/>
                <w:szCs w:val="22"/>
              </w:rPr>
              <w:t>违约承诺</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5</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rPr>
            </w:pPr>
            <w:r>
              <w:rPr>
                <w:rFonts w:hint="eastAsia" w:ascii="仿宋_GB2312" w:eastAsia="仿宋_GB2312" w:cs="仿宋_GB2312"/>
                <w:b/>
                <w:bCs/>
                <w:spacing w:val="10"/>
                <w:sz w:val="24"/>
                <w:szCs w:val="28"/>
              </w:rPr>
              <w:t>评审内容：</w:t>
            </w:r>
            <w:r>
              <w:rPr>
                <w:rFonts w:hint="eastAsia" w:ascii="仿宋_GB2312" w:eastAsia="仿宋_GB2312" w:cs="仿宋_GB2312"/>
                <w:spacing w:val="10"/>
                <w:sz w:val="24"/>
                <w:szCs w:val="28"/>
              </w:rPr>
              <w:t>根据招标文件需求，做出相应的违约承诺，违约的赔付及违约后的处理方式。</w:t>
            </w:r>
          </w:p>
          <w:p>
            <w:pPr>
              <w:snapToGrid w:val="0"/>
              <w:jc w:val="left"/>
              <w:rPr>
                <w:rFonts w:ascii="仿宋_GB2312" w:eastAsia="仿宋_GB2312" w:cs="仿宋_GB2312"/>
                <w:b/>
                <w:bCs/>
                <w:spacing w:val="10"/>
                <w:sz w:val="24"/>
                <w:szCs w:val="28"/>
              </w:rPr>
            </w:pPr>
            <w:r>
              <w:rPr>
                <w:rFonts w:hint="eastAsia" w:ascii="仿宋_GB2312" w:eastAsia="仿宋_GB2312" w:cs="仿宋_GB2312"/>
                <w:b/>
                <w:bCs/>
                <w:spacing w:val="10"/>
                <w:sz w:val="24"/>
                <w:szCs w:val="28"/>
              </w:rPr>
              <w:t>评审标准：</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1.承诺人员团队严格按照招标文件及投标承诺配置；</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2.服务质量达到招标文件要求；</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3.有明确的违约的赔付，具体的违约后的处理方式。</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要求提供违约承诺（格式自定）作为得分依据。满足以上三项要求得5分，满足以上二项要求得3分，满足以上一项要求得1分，未提供承诺或承诺内容不满足要求不得分。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5</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项目完成后的服务承诺</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5</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bCs/>
                <w:spacing w:val="10"/>
                <w:sz w:val="24"/>
                <w:szCs w:val="28"/>
                <w:lang w:bidi="ar"/>
              </w:rPr>
            </w:pPr>
            <w:r>
              <w:rPr>
                <w:rFonts w:hint="eastAsia" w:ascii="仿宋_GB2312" w:eastAsia="仿宋_GB2312" w:cs="仿宋_GB2312"/>
                <w:b/>
                <w:spacing w:val="10"/>
                <w:sz w:val="24"/>
                <w:szCs w:val="28"/>
                <w:lang w:bidi="ar"/>
              </w:rPr>
              <w:t>评审内容：</w:t>
            </w:r>
            <w:r>
              <w:rPr>
                <w:rFonts w:hint="eastAsia" w:ascii="仿宋_GB2312" w:eastAsia="仿宋_GB2312" w:cs="仿宋_GB2312"/>
                <w:bCs/>
                <w:spacing w:val="10"/>
                <w:sz w:val="24"/>
                <w:szCs w:val="28"/>
                <w:lang w:bidi="ar"/>
              </w:rPr>
              <w:t>投标人承诺以下3项的得满分，否则不得分，格式自定：</w:t>
            </w:r>
          </w:p>
          <w:p>
            <w:pPr>
              <w:snapToGrid w:val="0"/>
              <w:jc w:val="left"/>
              <w:rPr>
                <w:rFonts w:ascii="仿宋_GB2312" w:eastAsia="仿宋_GB2312" w:cs="仿宋_GB2312"/>
                <w:bCs/>
                <w:spacing w:val="10"/>
                <w:sz w:val="24"/>
                <w:szCs w:val="28"/>
                <w:lang w:bidi="ar"/>
              </w:rPr>
            </w:pPr>
            <w:r>
              <w:rPr>
                <w:rFonts w:hint="eastAsia" w:ascii="仿宋_GB2312" w:eastAsia="仿宋_GB2312" w:cs="仿宋_GB2312"/>
                <w:bCs/>
                <w:spacing w:val="10"/>
                <w:sz w:val="24"/>
                <w:szCs w:val="28"/>
                <w:lang w:bidi="ar"/>
              </w:rPr>
              <w:t>1.保证按照招标文件要求，完成项目；</w:t>
            </w:r>
          </w:p>
          <w:p>
            <w:pPr>
              <w:snapToGrid w:val="0"/>
              <w:jc w:val="left"/>
              <w:rPr>
                <w:rFonts w:ascii="仿宋_GB2312" w:eastAsia="仿宋_GB2312" w:cs="仿宋_GB2312"/>
                <w:bCs/>
                <w:spacing w:val="10"/>
                <w:sz w:val="24"/>
                <w:szCs w:val="28"/>
                <w:lang w:bidi="ar"/>
              </w:rPr>
            </w:pPr>
            <w:r>
              <w:rPr>
                <w:rFonts w:hint="eastAsia" w:ascii="仿宋_GB2312" w:eastAsia="仿宋_GB2312" w:cs="仿宋_GB2312"/>
                <w:bCs/>
                <w:spacing w:val="10"/>
                <w:sz w:val="24"/>
                <w:szCs w:val="28"/>
                <w:lang w:bidi="ar"/>
              </w:rPr>
              <w:t>2.项目执行完成后，承诺提交项目总结报告等文件，并配合采购人对项目执行情况进行验收；</w:t>
            </w:r>
          </w:p>
          <w:p>
            <w:pPr>
              <w:snapToGrid w:val="0"/>
              <w:jc w:val="left"/>
              <w:rPr>
                <w:rFonts w:ascii="仿宋_GB2312" w:eastAsia="仿宋_GB2312" w:cs="仿宋_GB2312"/>
                <w:spacing w:val="10"/>
                <w:sz w:val="24"/>
                <w:szCs w:val="28"/>
              </w:rPr>
            </w:pPr>
            <w:r>
              <w:rPr>
                <w:rFonts w:hint="eastAsia" w:ascii="仿宋_GB2312" w:eastAsia="仿宋_GB2312" w:cs="仿宋_GB2312"/>
                <w:bCs/>
                <w:spacing w:val="10"/>
                <w:sz w:val="24"/>
                <w:szCs w:val="28"/>
                <w:lang w:bidi="ar"/>
              </w:rPr>
              <w:t>3.服务期满，后续服务公司未到位前仍按原合同服务承诺提供服务。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3</w:t>
            </w:r>
          </w:p>
        </w:tc>
        <w:tc>
          <w:tcPr>
            <w:tcW w:w="3832" w:type="dxa"/>
            <w:gridSpan w:val="6"/>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综合实力部分</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序号</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评分因素</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权重</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评分方式</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ascii="仿宋_GB2312" w:eastAsia="仿宋_GB2312" w:cs="仿宋_GB2312"/>
                <w:spacing w:val="10"/>
                <w:sz w:val="24"/>
                <w:szCs w:val="28"/>
                <w:lang w:bidi="ar"/>
              </w:rPr>
              <w:t>1</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同类项目经验</w:t>
            </w:r>
          </w:p>
          <w:p>
            <w:pPr>
              <w:snapToGrid w:val="0"/>
              <w:jc w:val="center"/>
              <w:rPr>
                <w:rFonts w:ascii="仿宋_GB2312" w:eastAsia="仿宋_GB2312" w:cs="仿宋_GB2312"/>
                <w:spacing w:val="10"/>
                <w:sz w:val="24"/>
                <w:szCs w:val="28"/>
              </w:rPr>
            </w:pP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ascii="仿宋_GB2312" w:eastAsia="仿宋_GB2312" w:cs="仿宋_GB2312"/>
                <w:spacing w:val="10"/>
                <w:sz w:val="24"/>
                <w:szCs w:val="28"/>
                <w:lang w:bidi="ar"/>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评分内容：</w:t>
            </w:r>
            <w:r>
              <w:rPr>
                <w:rFonts w:hint="eastAsia" w:ascii="仿宋_GB2312" w:eastAsia="仿宋_GB2312" w:cs="仿宋_GB2312"/>
                <w:spacing w:val="10"/>
                <w:sz w:val="24"/>
                <w:szCs w:val="28"/>
                <w:highlight w:val="none"/>
              </w:rPr>
              <w:t>投标人自2020年1月1日起至投标截止日具有</w:t>
            </w:r>
            <w:r>
              <w:rPr>
                <w:rFonts w:hint="eastAsia" w:ascii="仿宋_GB2312" w:eastAsia="仿宋_GB2312" w:cs="仿宋_GB2312"/>
                <w:spacing w:val="10"/>
                <w:sz w:val="24"/>
                <w:szCs w:val="28"/>
                <w:highlight w:val="none"/>
                <w:lang w:val="en-US" w:eastAsia="zh-CN"/>
              </w:rPr>
              <w:t>国家级</w:t>
            </w:r>
            <w:r>
              <w:rPr>
                <w:rFonts w:hint="eastAsia" w:ascii="仿宋_GB2312" w:eastAsia="仿宋_GB2312" w:cs="仿宋_GB2312"/>
                <w:spacing w:val="10"/>
                <w:sz w:val="24"/>
                <w:szCs w:val="28"/>
                <w:highlight w:val="none"/>
              </w:rPr>
              <w:t>展会项目</w:t>
            </w:r>
            <w:r>
              <w:rPr>
                <w:rFonts w:hint="eastAsia" w:ascii="仿宋_GB2312" w:eastAsia="仿宋_GB2312" w:cs="仿宋_GB2312"/>
                <w:spacing w:val="10"/>
                <w:sz w:val="24"/>
                <w:szCs w:val="28"/>
                <w:highlight w:val="none"/>
                <w:lang w:val="en-US" w:eastAsia="zh-CN"/>
              </w:rPr>
              <w:t>服务</w:t>
            </w:r>
            <w:r>
              <w:rPr>
                <w:rFonts w:hint="eastAsia" w:ascii="仿宋_GB2312" w:eastAsia="仿宋_GB2312" w:cs="仿宋_GB2312"/>
                <w:spacing w:val="10"/>
                <w:sz w:val="24"/>
                <w:szCs w:val="28"/>
                <w:highlight w:val="none"/>
              </w:rPr>
              <w:t>经验的，每项得</w:t>
            </w:r>
            <w:r>
              <w:rPr>
                <w:rFonts w:ascii="仿宋_GB2312" w:eastAsia="仿宋_GB2312" w:cs="仿宋_GB2312"/>
                <w:spacing w:val="10"/>
                <w:sz w:val="24"/>
                <w:szCs w:val="28"/>
                <w:highlight w:val="none"/>
              </w:rPr>
              <w:t>5</w:t>
            </w:r>
            <w:r>
              <w:rPr>
                <w:rFonts w:hint="eastAsia" w:ascii="仿宋_GB2312" w:eastAsia="仿宋_GB2312" w:cs="仿宋_GB2312"/>
                <w:spacing w:val="10"/>
                <w:sz w:val="24"/>
                <w:szCs w:val="28"/>
                <w:highlight w:val="none"/>
              </w:rPr>
              <w:t>分，最高不超过</w:t>
            </w:r>
            <w:r>
              <w:rPr>
                <w:rFonts w:ascii="仿宋_GB2312" w:eastAsia="仿宋_GB2312" w:cs="仿宋_GB2312"/>
                <w:spacing w:val="10"/>
                <w:sz w:val="24"/>
                <w:szCs w:val="28"/>
                <w:highlight w:val="none"/>
              </w:rPr>
              <w:t>10</w:t>
            </w:r>
            <w:r>
              <w:rPr>
                <w:rFonts w:hint="eastAsia" w:ascii="仿宋_GB2312" w:eastAsia="仿宋_GB2312" w:cs="仿宋_GB2312"/>
                <w:spacing w:val="10"/>
                <w:sz w:val="24"/>
                <w:szCs w:val="28"/>
                <w:highlight w:val="none"/>
              </w:rPr>
              <w:t>分；无相关服务经验的不得分。</w:t>
            </w:r>
          </w:p>
          <w:p>
            <w:pPr>
              <w:snapToGrid w:val="0"/>
              <w:jc w:val="left"/>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评分依据：</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1.要求同时提供合同关键信息和项目履约（验收）合格评价证明文件作为得分依据，项目履约（验收）合格评价证明文件需加盖合同甲方公章（或甲方业务章）。</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2.通过合同关键信息无法判断是否得分的，还须同时提供能证明得分的其它证明资料，如项目报告或合同甲方出具的证明文件等。</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3.以上资料均要求提供扫描件。评分中出现无证明资料或专家无法凭所提供资料判断是否得分的情况，一律作不得分处理。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ascii="仿宋_GB2312" w:eastAsia="仿宋_GB2312" w:cs="仿宋_GB2312"/>
                <w:spacing w:val="10"/>
                <w:sz w:val="24"/>
                <w:szCs w:val="28"/>
                <w:lang w:bidi="ar"/>
              </w:rPr>
              <w:t>2</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拟安排的项目负责人情况</w:t>
            </w:r>
            <w:r>
              <w:rPr>
                <w:rFonts w:hint="eastAsia" w:ascii="仿宋_GB2312" w:hAnsi="仿宋_GB2312" w:eastAsia="仿宋_GB2312" w:cs="仿宋_GB2312"/>
                <w:spacing w:val="10"/>
                <w:sz w:val="24"/>
                <w:lang w:bidi="ar"/>
              </w:rPr>
              <w:t>（仅限一人）</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1</w:t>
            </w:r>
            <w:r>
              <w:rPr>
                <w:rFonts w:ascii="仿宋_GB2312" w:eastAsia="仿宋_GB2312" w:cs="仿宋_GB2312"/>
                <w:spacing w:val="10"/>
                <w:sz w:val="24"/>
                <w:szCs w:val="28"/>
                <w:lang w:bidi="ar"/>
              </w:rPr>
              <w:t>2</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评分内容：</w:t>
            </w:r>
            <w:r>
              <w:rPr>
                <w:rFonts w:hint="eastAsia" w:ascii="仿宋_GB2312" w:eastAsia="仿宋_GB2312" w:cs="仿宋_GB2312"/>
                <w:spacing w:val="10"/>
                <w:sz w:val="24"/>
                <w:szCs w:val="28"/>
                <w:highlight w:val="none"/>
              </w:rPr>
              <w:t>（1）投标人项目负责人具有本科学历及以上的得</w:t>
            </w:r>
            <w:r>
              <w:rPr>
                <w:rFonts w:ascii="仿宋_GB2312" w:eastAsia="仿宋_GB2312" w:cs="仿宋_GB2312"/>
                <w:spacing w:val="10"/>
                <w:sz w:val="24"/>
                <w:szCs w:val="28"/>
                <w:highlight w:val="none"/>
              </w:rPr>
              <w:t>6</w:t>
            </w:r>
            <w:r>
              <w:rPr>
                <w:rFonts w:hint="eastAsia" w:ascii="仿宋_GB2312" w:eastAsia="仿宋_GB2312" w:cs="仿宋_GB2312"/>
                <w:spacing w:val="10"/>
                <w:sz w:val="24"/>
                <w:szCs w:val="28"/>
                <w:highlight w:val="none"/>
              </w:rPr>
              <w:t>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（2）项目负责人担任过</w:t>
            </w:r>
            <w:r>
              <w:rPr>
                <w:rFonts w:hint="eastAsia" w:ascii="仿宋_GB2312" w:eastAsia="仿宋_GB2312" w:cs="仿宋_GB2312"/>
                <w:sz w:val="24"/>
                <w:szCs w:val="28"/>
                <w:highlight w:val="none"/>
              </w:rPr>
              <w:t>相关</w:t>
            </w:r>
            <w:r>
              <w:rPr>
                <w:rFonts w:hint="eastAsia" w:ascii="仿宋_GB2312" w:eastAsia="仿宋_GB2312" w:cs="仿宋_GB2312"/>
                <w:sz w:val="24"/>
                <w:szCs w:val="28"/>
                <w:highlight w:val="none"/>
                <w:lang w:val="en-US" w:eastAsia="zh-CN"/>
              </w:rPr>
              <w:t>展会服务</w:t>
            </w:r>
            <w:r>
              <w:rPr>
                <w:rFonts w:hint="eastAsia" w:ascii="仿宋_GB2312" w:eastAsia="仿宋_GB2312" w:cs="仿宋_GB2312"/>
                <w:sz w:val="24"/>
                <w:szCs w:val="28"/>
                <w:highlight w:val="none"/>
              </w:rPr>
              <w:t>项目</w:t>
            </w:r>
            <w:r>
              <w:rPr>
                <w:rFonts w:hint="eastAsia" w:ascii="仿宋_GB2312" w:eastAsia="仿宋_GB2312" w:cs="仿宋_GB2312"/>
                <w:spacing w:val="10"/>
                <w:sz w:val="24"/>
                <w:szCs w:val="28"/>
                <w:highlight w:val="none"/>
              </w:rPr>
              <w:t>管理经验得</w:t>
            </w:r>
            <w:r>
              <w:rPr>
                <w:rFonts w:ascii="仿宋_GB2312" w:eastAsia="仿宋_GB2312" w:cs="仿宋_GB2312"/>
                <w:spacing w:val="10"/>
                <w:sz w:val="24"/>
                <w:szCs w:val="28"/>
                <w:highlight w:val="none"/>
              </w:rPr>
              <w:t>6</w:t>
            </w:r>
            <w:r>
              <w:rPr>
                <w:rFonts w:hint="eastAsia" w:ascii="仿宋_GB2312" w:eastAsia="仿宋_GB2312" w:cs="仿宋_GB2312"/>
                <w:spacing w:val="10"/>
                <w:sz w:val="24"/>
                <w:szCs w:val="28"/>
                <w:highlight w:val="none"/>
              </w:rPr>
              <w:t>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评分依据</w:t>
            </w:r>
            <w:r>
              <w:rPr>
                <w:rFonts w:hint="eastAsia" w:ascii="仿宋_GB2312" w:eastAsia="仿宋_GB2312" w:cs="仿宋_GB2312"/>
                <w:spacing w:val="10"/>
                <w:sz w:val="24"/>
                <w:szCs w:val="28"/>
                <w:highlight w:val="none"/>
              </w:rPr>
              <w:t>：</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1.要求投标人须出具投标截止日前三个月的社保购买证明、学历</w:t>
            </w:r>
            <w:r>
              <w:rPr>
                <w:rFonts w:ascii="仿宋_GB2312" w:eastAsia="仿宋_GB2312" w:cs="仿宋_GB2312"/>
                <w:spacing w:val="10"/>
                <w:sz w:val="24"/>
                <w:szCs w:val="28"/>
                <w:highlight w:val="none"/>
              </w:rPr>
              <w:t>（毕业证）</w:t>
            </w:r>
            <w:r>
              <w:rPr>
                <w:rFonts w:hint="eastAsia" w:ascii="仿宋_GB2312" w:eastAsia="仿宋_GB2312" w:cs="仿宋_GB2312"/>
                <w:spacing w:val="10"/>
                <w:sz w:val="24"/>
                <w:szCs w:val="28"/>
                <w:highlight w:val="none"/>
              </w:rPr>
              <w:t>证书、</w:t>
            </w:r>
            <w:r>
              <w:rPr>
                <w:rFonts w:ascii="仿宋_GB2312" w:eastAsia="仿宋_GB2312" w:cs="仿宋_GB2312"/>
                <w:spacing w:val="10"/>
                <w:sz w:val="24"/>
                <w:szCs w:val="28"/>
                <w:highlight w:val="none"/>
              </w:rPr>
              <w:t>学位证书及学信网查询记录（如学信网无法查询的需提供毕业院校或人社部门等办法机构或监督机构等单位出具的证明）</w:t>
            </w:r>
            <w:r>
              <w:rPr>
                <w:rFonts w:hint="eastAsia" w:ascii="仿宋_GB2312" w:eastAsia="仿宋_GB2312" w:cs="仿宋_GB2312"/>
                <w:spacing w:val="10"/>
                <w:sz w:val="24"/>
                <w:szCs w:val="28"/>
                <w:highlight w:val="none"/>
              </w:rPr>
              <w:t>、管理经验等相关证明资料作为得分依据。</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2.涉及考察人员工作经验，要求提供项目合同关键信息作为得分依据，通过合同关键信息无法判断是否得分的，还须同时提供合同甲方出具的证明文件。</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3.以上资料均要求提供扫描件（或官方网站截图）加盖投标人公章。评分中出现无证明资料或专家无法凭所提供资料判断是否得分的情况，一律作不得分处理。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lang w:bidi="ar"/>
              </w:rPr>
            </w:pPr>
            <w:r>
              <w:rPr>
                <w:rFonts w:ascii="仿宋_GB2312" w:eastAsia="仿宋_GB2312" w:cs="仿宋_GB2312"/>
                <w:spacing w:val="10"/>
                <w:sz w:val="24"/>
                <w:szCs w:val="28"/>
                <w:lang w:bidi="ar"/>
              </w:rPr>
              <w:t>3</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lang w:bidi="ar"/>
              </w:rPr>
            </w:pPr>
            <w:r>
              <w:rPr>
                <w:rFonts w:ascii="仿宋_GB2312" w:eastAsia="仿宋_GB2312" w:cs="仿宋_GB2312"/>
                <w:spacing w:val="10"/>
                <w:sz w:val="24"/>
                <w:szCs w:val="28"/>
                <w:lang w:bidi="ar"/>
              </w:rPr>
              <w:t>拟安排的项目主要团队成员情况（项目负责人除外）</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w:t>
            </w:r>
            <w:r>
              <w:rPr>
                <w:rFonts w:ascii="仿宋_GB2312" w:eastAsia="仿宋_GB2312" w:cs="仿宋_GB2312"/>
                <w:spacing w:val="10"/>
                <w:sz w:val="24"/>
                <w:szCs w:val="28"/>
                <w:lang w:bidi="ar"/>
              </w:rPr>
              <w:t>3</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评分内容：</w:t>
            </w:r>
          </w:p>
          <w:p>
            <w:pPr>
              <w:snapToGrid w:val="0"/>
              <w:jc w:val="left"/>
              <w:rPr>
                <w:rFonts w:ascii="仿宋_GB2312" w:eastAsia="仿宋_GB2312" w:cs="仿宋_GB2312"/>
                <w:spacing w:val="10"/>
                <w:sz w:val="24"/>
                <w:szCs w:val="28"/>
                <w:highlight w:val="none"/>
              </w:rPr>
            </w:pPr>
            <w:r>
              <w:rPr>
                <w:rFonts w:ascii="仿宋_GB2312" w:eastAsia="仿宋_GB2312" w:cs="仿宋_GB2312"/>
                <w:spacing w:val="10"/>
                <w:sz w:val="24"/>
                <w:szCs w:val="28"/>
                <w:highlight w:val="none"/>
              </w:rPr>
              <w:t>1.</w:t>
            </w:r>
            <w:r>
              <w:rPr>
                <w:rFonts w:hint="eastAsia" w:ascii="仿宋_GB2312" w:eastAsia="仿宋_GB2312" w:cs="仿宋_GB2312"/>
                <w:spacing w:val="10"/>
                <w:sz w:val="24"/>
                <w:szCs w:val="28"/>
                <w:highlight w:val="none"/>
              </w:rPr>
              <w:t>拟</w:t>
            </w:r>
            <w:r>
              <w:rPr>
                <w:rFonts w:ascii="仿宋_GB2312" w:eastAsia="仿宋_GB2312" w:cs="仿宋_GB2312"/>
                <w:spacing w:val="10"/>
                <w:sz w:val="24"/>
                <w:szCs w:val="28"/>
                <w:highlight w:val="none"/>
              </w:rPr>
              <w:t>为本项目服务的团队人数</w:t>
            </w:r>
            <w:r>
              <w:rPr>
                <w:rFonts w:hint="eastAsia" w:ascii="仿宋_GB2312" w:eastAsia="仿宋_GB2312" w:cs="仿宋_GB2312"/>
                <w:spacing w:val="10"/>
                <w:sz w:val="24"/>
                <w:szCs w:val="28"/>
                <w:highlight w:val="none"/>
                <w:lang w:val="en-US" w:eastAsia="zh-CN"/>
              </w:rPr>
              <w:t>5</w:t>
            </w:r>
            <w:r>
              <w:rPr>
                <w:rFonts w:ascii="仿宋_GB2312" w:eastAsia="仿宋_GB2312" w:cs="仿宋_GB2312"/>
                <w:spacing w:val="10"/>
                <w:sz w:val="24"/>
                <w:szCs w:val="28"/>
                <w:highlight w:val="none"/>
              </w:rPr>
              <w:t>人及以上的得7分，</w:t>
            </w:r>
            <w:r>
              <w:rPr>
                <w:rFonts w:hint="eastAsia" w:ascii="仿宋_GB2312" w:eastAsia="仿宋_GB2312" w:cs="仿宋_GB2312"/>
                <w:spacing w:val="10"/>
                <w:sz w:val="24"/>
                <w:szCs w:val="28"/>
                <w:highlight w:val="none"/>
              </w:rPr>
              <w:t>3</w:t>
            </w:r>
            <w:r>
              <w:rPr>
                <w:rFonts w:ascii="仿宋_GB2312" w:eastAsia="仿宋_GB2312" w:cs="仿宋_GB2312"/>
                <w:spacing w:val="10"/>
                <w:sz w:val="24"/>
                <w:szCs w:val="28"/>
                <w:highlight w:val="none"/>
              </w:rPr>
              <w:t>人至</w:t>
            </w:r>
            <w:r>
              <w:rPr>
                <w:rFonts w:hint="eastAsia" w:ascii="仿宋_GB2312" w:eastAsia="仿宋_GB2312" w:cs="仿宋_GB2312"/>
                <w:spacing w:val="10"/>
                <w:sz w:val="24"/>
                <w:szCs w:val="28"/>
                <w:highlight w:val="none"/>
                <w:lang w:val="en-US" w:eastAsia="zh-CN"/>
              </w:rPr>
              <w:t>4</w:t>
            </w:r>
            <w:r>
              <w:rPr>
                <w:rFonts w:ascii="仿宋_GB2312" w:eastAsia="仿宋_GB2312" w:cs="仿宋_GB2312"/>
                <w:spacing w:val="10"/>
                <w:sz w:val="24"/>
                <w:szCs w:val="28"/>
                <w:highlight w:val="none"/>
              </w:rPr>
              <w:t>人得</w:t>
            </w:r>
            <w:r>
              <w:rPr>
                <w:rFonts w:hint="eastAsia" w:ascii="仿宋_GB2312" w:eastAsia="仿宋_GB2312" w:cs="仿宋_GB2312"/>
                <w:spacing w:val="10"/>
                <w:sz w:val="24"/>
                <w:szCs w:val="28"/>
                <w:highlight w:val="none"/>
              </w:rPr>
              <w:t>3</w:t>
            </w:r>
            <w:r>
              <w:rPr>
                <w:rFonts w:ascii="仿宋_GB2312" w:eastAsia="仿宋_GB2312" w:cs="仿宋_GB2312"/>
                <w:spacing w:val="10"/>
                <w:sz w:val="24"/>
                <w:szCs w:val="28"/>
                <w:highlight w:val="none"/>
              </w:rPr>
              <w:t>分，</w:t>
            </w:r>
            <w:r>
              <w:rPr>
                <w:rFonts w:hint="eastAsia" w:ascii="仿宋_GB2312" w:eastAsia="仿宋_GB2312" w:cs="仿宋_GB2312"/>
                <w:spacing w:val="10"/>
                <w:sz w:val="24"/>
                <w:szCs w:val="28"/>
                <w:highlight w:val="none"/>
              </w:rPr>
              <w:t>其他情况</w:t>
            </w:r>
            <w:r>
              <w:rPr>
                <w:rFonts w:ascii="仿宋_GB2312" w:eastAsia="仿宋_GB2312" w:cs="仿宋_GB2312"/>
                <w:spacing w:val="10"/>
                <w:sz w:val="24"/>
                <w:szCs w:val="28"/>
                <w:highlight w:val="none"/>
              </w:rPr>
              <w:t>不得分。</w:t>
            </w:r>
          </w:p>
          <w:p>
            <w:pPr>
              <w:snapToGrid w:val="0"/>
              <w:jc w:val="left"/>
              <w:rPr>
                <w:rFonts w:ascii="仿宋_GB2312" w:eastAsia="仿宋_GB2312" w:cs="仿宋_GB2312"/>
                <w:spacing w:val="10"/>
                <w:sz w:val="24"/>
                <w:szCs w:val="28"/>
                <w:highlight w:val="none"/>
              </w:rPr>
            </w:pPr>
            <w:r>
              <w:rPr>
                <w:rFonts w:ascii="仿宋_GB2312" w:eastAsia="仿宋_GB2312" w:cs="仿宋_GB2312"/>
                <w:spacing w:val="10"/>
                <w:sz w:val="24"/>
                <w:szCs w:val="28"/>
                <w:highlight w:val="none"/>
              </w:rPr>
              <w:t>2.拟安排项目团队成员具有</w:t>
            </w:r>
            <w:r>
              <w:rPr>
                <w:rFonts w:hint="eastAsia" w:ascii="仿宋_GB2312" w:eastAsia="仿宋_GB2312" w:cs="仿宋_GB2312"/>
                <w:sz w:val="24"/>
                <w:szCs w:val="28"/>
                <w:highlight w:val="none"/>
              </w:rPr>
              <w:t>相关</w:t>
            </w:r>
            <w:r>
              <w:rPr>
                <w:rFonts w:hint="eastAsia" w:ascii="仿宋_GB2312" w:eastAsia="仿宋_GB2312" w:cs="仿宋_GB2312"/>
                <w:sz w:val="24"/>
                <w:szCs w:val="28"/>
                <w:highlight w:val="none"/>
                <w:lang w:val="en-US" w:eastAsia="zh-CN"/>
              </w:rPr>
              <w:t>展会服务</w:t>
            </w:r>
            <w:r>
              <w:rPr>
                <w:rFonts w:hint="eastAsia" w:ascii="仿宋_GB2312" w:eastAsia="仿宋_GB2312" w:cs="仿宋_GB2312"/>
                <w:sz w:val="24"/>
                <w:szCs w:val="28"/>
                <w:highlight w:val="none"/>
              </w:rPr>
              <w:t>项目经验</w:t>
            </w:r>
            <w:r>
              <w:rPr>
                <w:rFonts w:ascii="仿宋_GB2312" w:eastAsia="仿宋_GB2312" w:cs="仿宋_GB2312"/>
                <w:spacing w:val="10"/>
                <w:sz w:val="24"/>
                <w:szCs w:val="28"/>
                <w:highlight w:val="none"/>
              </w:rPr>
              <w:t>不少于</w:t>
            </w:r>
            <w:r>
              <w:rPr>
                <w:rFonts w:hint="eastAsia" w:ascii="仿宋_GB2312" w:eastAsia="仿宋_GB2312" w:cs="仿宋_GB2312"/>
                <w:spacing w:val="10"/>
                <w:sz w:val="24"/>
                <w:szCs w:val="28"/>
                <w:highlight w:val="none"/>
              </w:rPr>
              <w:t>3</w:t>
            </w:r>
            <w:r>
              <w:rPr>
                <w:rFonts w:ascii="仿宋_GB2312" w:eastAsia="仿宋_GB2312" w:cs="仿宋_GB2312"/>
                <w:spacing w:val="10"/>
                <w:sz w:val="24"/>
                <w:szCs w:val="28"/>
                <w:highlight w:val="none"/>
              </w:rPr>
              <w:t>人，得</w:t>
            </w:r>
            <w:r>
              <w:rPr>
                <w:rFonts w:hint="eastAsia" w:ascii="仿宋_GB2312" w:eastAsia="仿宋_GB2312" w:cs="仿宋_GB2312"/>
                <w:spacing w:val="10"/>
                <w:sz w:val="24"/>
                <w:szCs w:val="28"/>
                <w:highlight w:val="none"/>
              </w:rPr>
              <w:t>2</w:t>
            </w:r>
            <w:r>
              <w:rPr>
                <w:rFonts w:ascii="仿宋_GB2312" w:eastAsia="仿宋_GB2312" w:cs="仿宋_GB2312"/>
                <w:spacing w:val="10"/>
                <w:sz w:val="24"/>
                <w:szCs w:val="28"/>
                <w:highlight w:val="none"/>
              </w:rPr>
              <w:t>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评分依据</w:t>
            </w:r>
            <w:r>
              <w:rPr>
                <w:rFonts w:hint="eastAsia" w:ascii="仿宋_GB2312" w:eastAsia="仿宋_GB2312" w:cs="仿宋_GB2312"/>
                <w:spacing w:val="10"/>
                <w:sz w:val="24"/>
                <w:szCs w:val="28"/>
                <w:highlight w:val="none"/>
              </w:rPr>
              <w:t>：</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1.要求投标人须出具投标截止日前三个月的社保购买证明、学历</w:t>
            </w:r>
            <w:r>
              <w:rPr>
                <w:rFonts w:ascii="仿宋_GB2312" w:eastAsia="仿宋_GB2312" w:cs="仿宋_GB2312"/>
                <w:spacing w:val="10"/>
                <w:sz w:val="24"/>
                <w:szCs w:val="28"/>
                <w:highlight w:val="none"/>
              </w:rPr>
              <w:t>（毕业证）</w:t>
            </w:r>
            <w:r>
              <w:rPr>
                <w:rFonts w:hint="eastAsia" w:ascii="仿宋_GB2312" w:eastAsia="仿宋_GB2312" w:cs="仿宋_GB2312"/>
                <w:spacing w:val="10"/>
                <w:sz w:val="24"/>
                <w:szCs w:val="28"/>
                <w:highlight w:val="none"/>
              </w:rPr>
              <w:t>证书、</w:t>
            </w:r>
            <w:r>
              <w:rPr>
                <w:rFonts w:ascii="仿宋_GB2312" w:eastAsia="仿宋_GB2312" w:cs="仿宋_GB2312"/>
                <w:spacing w:val="10"/>
                <w:sz w:val="24"/>
                <w:szCs w:val="28"/>
                <w:highlight w:val="none"/>
              </w:rPr>
              <w:t>学位证书及学信网查询记录（如学信网无法查询的需提供毕业院校或人社部门等办法机构或监督机构等单位出具的证明）</w:t>
            </w:r>
            <w:r>
              <w:rPr>
                <w:rFonts w:hint="eastAsia" w:ascii="仿宋_GB2312" w:eastAsia="仿宋_GB2312" w:cs="仿宋_GB2312"/>
                <w:spacing w:val="10"/>
                <w:sz w:val="24"/>
                <w:szCs w:val="28"/>
                <w:highlight w:val="none"/>
              </w:rPr>
              <w:t>、项目经验等相关证明资料作为得分依据。</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2.涉及考察人员工作经验，要求提供项目合同关键信息作为得分依据，通过合同关键信息无法判断是否得分的，还须同时提供合同甲方出具的证明文件。</w:t>
            </w:r>
          </w:p>
          <w:p>
            <w:pPr>
              <w:snapToGrid w:val="0"/>
              <w:jc w:val="left"/>
              <w:rPr>
                <w:rFonts w:ascii="仿宋_GB2312" w:eastAsia="仿宋_GB2312" w:cs="仿宋_GB2312"/>
                <w:b/>
                <w:spacing w:val="10"/>
                <w:sz w:val="24"/>
                <w:szCs w:val="28"/>
                <w:highlight w:val="none"/>
              </w:rPr>
            </w:pPr>
            <w:r>
              <w:rPr>
                <w:rFonts w:hint="eastAsia" w:ascii="仿宋_GB2312" w:eastAsia="仿宋_GB2312" w:cs="仿宋_GB2312"/>
                <w:spacing w:val="10"/>
                <w:sz w:val="24"/>
                <w:szCs w:val="28"/>
                <w:highlight w:val="none"/>
              </w:rPr>
              <w:t>3.以上资料均要求提供扫描件（或官方网站截图）加盖投标人公章。评分中出现无证明资料或专家无法凭所提供资料判断是否得分的情况，一律作不得分处理。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lang w:bidi="ar"/>
              </w:rPr>
            </w:pPr>
            <w:r>
              <w:rPr>
                <w:rFonts w:ascii="仿宋_GB2312" w:eastAsia="仿宋_GB2312" w:cs="仿宋_GB2312"/>
                <w:spacing w:val="10"/>
                <w:sz w:val="24"/>
                <w:szCs w:val="28"/>
                <w:lang w:bidi="ar"/>
              </w:rPr>
              <w:t>4</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诚信评价</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5</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根据深圳市财政部门政府采购诚信管理相关规定，对投标人被记录诚信档案的情况进行评审（对于受过行政处罚供应商，行政处罚期满后，可参与政府采购活动，其诚信分不再扣减。）必须提供《诚信承诺函》，如若投标人承诺与实际情况不相符，将按照虚假投标的情况报相关主管部门处理。</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证明材料：需提供诚信承诺函，格式自拟，加盖投标人公章扫描件或复印件，原件备查。</w:t>
            </w:r>
          </w:p>
        </w:tc>
      </w:tr>
    </w:tbl>
    <w:p>
      <w:pPr>
        <w:snapToGrid w:val="0"/>
        <w:spacing w:line="360" w:lineRule="auto"/>
        <w:rPr>
          <w:rFonts w:ascii="方正小标宋简体" w:eastAsia="方正小标宋简体"/>
          <w:sz w:val="44"/>
          <w:szCs w:val="44"/>
        </w:rPr>
      </w:pPr>
      <w:r>
        <w:rPr>
          <w:rFonts w:eastAsia="仿宋_GB2312"/>
          <w:spacing w:val="10"/>
          <w:sz w:val="32"/>
          <w:szCs w:val="21"/>
          <w:lang w:bidi="ar"/>
        </w:rPr>
        <w:t xml:space="preserve"> </w:t>
      </w:r>
    </w:p>
    <w:sectPr>
      <w:pgSz w:w="11906" w:h="16838"/>
      <w:pgMar w:top="1418"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宋体_x0004_fal">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OGEzMzY4MmM4MGUyMzBiMzJhZjhhNmM3MGE4ODAifQ=="/>
  </w:docVars>
  <w:rsids>
    <w:rsidRoot w:val="00D24AD2"/>
    <w:rsid w:val="000032CB"/>
    <w:rsid w:val="00006FE5"/>
    <w:rsid w:val="00020FF5"/>
    <w:rsid w:val="00043472"/>
    <w:rsid w:val="00083C60"/>
    <w:rsid w:val="000B6F2F"/>
    <w:rsid w:val="000C388C"/>
    <w:rsid w:val="000D6DD6"/>
    <w:rsid w:val="00106EEC"/>
    <w:rsid w:val="00110B5D"/>
    <w:rsid w:val="00114A5D"/>
    <w:rsid w:val="0015080A"/>
    <w:rsid w:val="00184C7B"/>
    <w:rsid w:val="001C24E4"/>
    <w:rsid w:val="001D5FA7"/>
    <w:rsid w:val="001F028D"/>
    <w:rsid w:val="0020745C"/>
    <w:rsid w:val="00233A78"/>
    <w:rsid w:val="00234023"/>
    <w:rsid w:val="002404A3"/>
    <w:rsid w:val="00240A72"/>
    <w:rsid w:val="00244EFF"/>
    <w:rsid w:val="00252292"/>
    <w:rsid w:val="00280184"/>
    <w:rsid w:val="00283175"/>
    <w:rsid w:val="00285E90"/>
    <w:rsid w:val="002A35AD"/>
    <w:rsid w:val="002C10FD"/>
    <w:rsid w:val="002E4D45"/>
    <w:rsid w:val="002F3A2B"/>
    <w:rsid w:val="002F62DE"/>
    <w:rsid w:val="00326C5A"/>
    <w:rsid w:val="003463E4"/>
    <w:rsid w:val="00360B68"/>
    <w:rsid w:val="003D11CB"/>
    <w:rsid w:val="003D56AF"/>
    <w:rsid w:val="003E570B"/>
    <w:rsid w:val="00402F77"/>
    <w:rsid w:val="00411363"/>
    <w:rsid w:val="00415C4D"/>
    <w:rsid w:val="00417934"/>
    <w:rsid w:val="00434C80"/>
    <w:rsid w:val="00483AA6"/>
    <w:rsid w:val="004865CC"/>
    <w:rsid w:val="004B4BD9"/>
    <w:rsid w:val="004B5420"/>
    <w:rsid w:val="004E5061"/>
    <w:rsid w:val="004F3257"/>
    <w:rsid w:val="0050301A"/>
    <w:rsid w:val="005103B7"/>
    <w:rsid w:val="005149CE"/>
    <w:rsid w:val="00522598"/>
    <w:rsid w:val="00526EFC"/>
    <w:rsid w:val="00545A4B"/>
    <w:rsid w:val="00587122"/>
    <w:rsid w:val="005932CB"/>
    <w:rsid w:val="005B1E48"/>
    <w:rsid w:val="005D60AC"/>
    <w:rsid w:val="00610D56"/>
    <w:rsid w:val="00611FA4"/>
    <w:rsid w:val="00665ABC"/>
    <w:rsid w:val="00675D76"/>
    <w:rsid w:val="006A159A"/>
    <w:rsid w:val="006B1F1E"/>
    <w:rsid w:val="006B7690"/>
    <w:rsid w:val="00731ECC"/>
    <w:rsid w:val="0073602B"/>
    <w:rsid w:val="00755654"/>
    <w:rsid w:val="007701CD"/>
    <w:rsid w:val="00772005"/>
    <w:rsid w:val="00773296"/>
    <w:rsid w:val="0078281B"/>
    <w:rsid w:val="007A161F"/>
    <w:rsid w:val="007F3C5D"/>
    <w:rsid w:val="00802EF7"/>
    <w:rsid w:val="00811A69"/>
    <w:rsid w:val="0083087E"/>
    <w:rsid w:val="00851FB6"/>
    <w:rsid w:val="008526B7"/>
    <w:rsid w:val="00863B21"/>
    <w:rsid w:val="00872CA7"/>
    <w:rsid w:val="008804D2"/>
    <w:rsid w:val="00884552"/>
    <w:rsid w:val="008A2BF2"/>
    <w:rsid w:val="008A5E87"/>
    <w:rsid w:val="008D6882"/>
    <w:rsid w:val="008F6166"/>
    <w:rsid w:val="00910C89"/>
    <w:rsid w:val="009425D6"/>
    <w:rsid w:val="00954E28"/>
    <w:rsid w:val="00957395"/>
    <w:rsid w:val="00963A63"/>
    <w:rsid w:val="009C30CD"/>
    <w:rsid w:val="009D0E07"/>
    <w:rsid w:val="009D4D14"/>
    <w:rsid w:val="00A111E1"/>
    <w:rsid w:val="00A115C4"/>
    <w:rsid w:val="00A62D86"/>
    <w:rsid w:val="00AE13AF"/>
    <w:rsid w:val="00AF1935"/>
    <w:rsid w:val="00B21159"/>
    <w:rsid w:val="00B6525B"/>
    <w:rsid w:val="00B6630C"/>
    <w:rsid w:val="00C4518F"/>
    <w:rsid w:val="00C52437"/>
    <w:rsid w:val="00C6730C"/>
    <w:rsid w:val="00CA00F9"/>
    <w:rsid w:val="00CA6D27"/>
    <w:rsid w:val="00CA7F9B"/>
    <w:rsid w:val="00CB22AA"/>
    <w:rsid w:val="00CC17DF"/>
    <w:rsid w:val="00CC58F5"/>
    <w:rsid w:val="00CD2D14"/>
    <w:rsid w:val="00CF1094"/>
    <w:rsid w:val="00D24AD2"/>
    <w:rsid w:val="00D27986"/>
    <w:rsid w:val="00D56B3C"/>
    <w:rsid w:val="00D87EC9"/>
    <w:rsid w:val="00DA2057"/>
    <w:rsid w:val="00DE65A3"/>
    <w:rsid w:val="00E233AF"/>
    <w:rsid w:val="00E30299"/>
    <w:rsid w:val="00E51654"/>
    <w:rsid w:val="00E518DD"/>
    <w:rsid w:val="00E65417"/>
    <w:rsid w:val="00EC2B6E"/>
    <w:rsid w:val="00EC537D"/>
    <w:rsid w:val="00EC7693"/>
    <w:rsid w:val="00EE56A4"/>
    <w:rsid w:val="00F439AA"/>
    <w:rsid w:val="00F7057C"/>
    <w:rsid w:val="00FB47AD"/>
    <w:rsid w:val="00FB7A25"/>
    <w:rsid w:val="00FC7B32"/>
    <w:rsid w:val="00FD0B05"/>
    <w:rsid w:val="00FE3630"/>
    <w:rsid w:val="01CE3E19"/>
    <w:rsid w:val="03770A0A"/>
    <w:rsid w:val="048A527D"/>
    <w:rsid w:val="06A2607A"/>
    <w:rsid w:val="084F3962"/>
    <w:rsid w:val="0A2A768E"/>
    <w:rsid w:val="0A6071C9"/>
    <w:rsid w:val="0CC638F2"/>
    <w:rsid w:val="11D34905"/>
    <w:rsid w:val="11FA43A7"/>
    <w:rsid w:val="121407CA"/>
    <w:rsid w:val="1236103D"/>
    <w:rsid w:val="1531666E"/>
    <w:rsid w:val="15D1541F"/>
    <w:rsid w:val="16116A65"/>
    <w:rsid w:val="167B2CE0"/>
    <w:rsid w:val="16915DE7"/>
    <w:rsid w:val="17864526"/>
    <w:rsid w:val="17AF3FF2"/>
    <w:rsid w:val="18DF196B"/>
    <w:rsid w:val="1B66485B"/>
    <w:rsid w:val="1D6F3E9B"/>
    <w:rsid w:val="1E4B5C01"/>
    <w:rsid w:val="2398757C"/>
    <w:rsid w:val="265C1159"/>
    <w:rsid w:val="280671AA"/>
    <w:rsid w:val="2B8866CB"/>
    <w:rsid w:val="2C0F1DE8"/>
    <w:rsid w:val="2C2979A7"/>
    <w:rsid w:val="2D457F2E"/>
    <w:rsid w:val="2DC7337B"/>
    <w:rsid w:val="2F9326AF"/>
    <w:rsid w:val="312D0D24"/>
    <w:rsid w:val="3145061E"/>
    <w:rsid w:val="352F2334"/>
    <w:rsid w:val="370B11C2"/>
    <w:rsid w:val="38C457BF"/>
    <w:rsid w:val="3D777152"/>
    <w:rsid w:val="3DCB0859"/>
    <w:rsid w:val="3FF42F52"/>
    <w:rsid w:val="42A06B6B"/>
    <w:rsid w:val="46BB0701"/>
    <w:rsid w:val="47BB1F9C"/>
    <w:rsid w:val="494D5CF7"/>
    <w:rsid w:val="49543669"/>
    <w:rsid w:val="4C1A4162"/>
    <w:rsid w:val="4CB060D7"/>
    <w:rsid w:val="4CF8351A"/>
    <w:rsid w:val="4F626628"/>
    <w:rsid w:val="506568D0"/>
    <w:rsid w:val="564D3081"/>
    <w:rsid w:val="571E33AD"/>
    <w:rsid w:val="58C753DA"/>
    <w:rsid w:val="5B1A029B"/>
    <w:rsid w:val="5C814A76"/>
    <w:rsid w:val="5D1A202F"/>
    <w:rsid w:val="5D232DBD"/>
    <w:rsid w:val="5DBF5DEF"/>
    <w:rsid w:val="5DD570FC"/>
    <w:rsid w:val="60E10E67"/>
    <w:rsid w:val="60F872D1"/>
    <w:rsid w:val="62D53CD3"/>
    <w:rsid w:val="63950C42"/>
    <w:rsid w:val="642A46A8"/>
    <w:rsid w:val="6585561E"/>
    <w:rsid w:val="6A70797F"/>
    <w:rsid w:val="6B6B7A5E"/>
    <w:rsid w:val="6B8F304E"/>
    <w:rsid w:val="6DA547F0"/>
    <w:rsid w:val="6E280B8B"/>
    <w:rsid w:val="6EA463A2"/>
    <w:rsid w:val="6EF04F7E"/>
    <w:rsid w:val="6FF76BAF"/>
    <w:rsid w:val="714B2BDD"/>
    <w:rsid w:val="72211D43"/>
    <w:rsid w:val="73621D10"/>
    <w:rsid w:val="75854E08"/>
    <w:rsid w:val="75DD6FE8"/>
    <w:rsid w:val="763945F7"/>
    <w:rsid w:val="763E4827"/>
    <w:rsid w:val="7A7D27E5"/>
    <w:rsid w:val="7B5D1DB2"/>
    <w:rsid w:val="7BA15D1C"/>
    <w:rsid w:val="7F1E3E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semiHidden/>
    <w:unhideWhenUsed/>
    <w:qFormat/>
    <w:uiPriority w:val="99"/>
    <w:rPr>
      <w:sz w:val="21"/>
      <w:szCs w:val="21"/>
    </w:rPr>
  </w:style>
  <w:style w:type="paragraph" w:customStyle="1" w:styleId="10">
    <w:name w:val="Default"/>
    <w:basedOn w:val="1"/>
    <w:qFormat/>
    <w:uiPriority w:val="0"/>
    <w:pPr>
      <w:autoSpaceDE w:val="0"/>
      <w:autoSpaceDN w:val="0"/>
      <w:adjustRightInd w:val="0"/>
      <w:jc w:val="left"/>
    </w:pPr>
    <w:rPr>
      <w:rFonts w:ascii="方正小标宋简体" w:hAnsi="宋体_x0004_fal" w:eastAsia="方正小标宋简体"/>
      <w:color w:val="000000"/>
      <w:kern w:val="0"/>
      <w:sz w:val="24"/>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rFonts w:ascii="Times New Roman" w:hAnsi="Times New Roman" w:eastAsia="宋体" w:cs="Times New Roman"/>
      <w:sz w:val="18"/>
      <w:szCs w:val="18"/>
    </w:rPr>
  </w:style>
  <w:style w:type="character" w:customStyle="1" w:styleId="14">
    <w:name w:val="批注文字 字符"/>
    <w:basedOn w:val="8"/>
    <w:link w:val="2"/>
    <w:semiHidden/>
    <w:qFormat/>
    <w:uiPriority w:val="99"/>
    <w:rPr>
      <w:rFonts w:ascii="Times New Roman" w:hAnsi="Times New Roman" w:eastAsia="宋体" w:cs="Times New Roman"/>
      <w:szCs w:val="24"/>
    </w:rPr>
  </w:style>
  <w:style w:type="character" w:customStyle="1" w:styleId="15">
    <w:name w:val="批注主题 字符"/>
    <w:basedOn w:val="14"/>
    <w:link w:val="6"/>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6425</Words>
  <Characters>6610</Characters>
  <Lines>45</Lines>
  <Paragraphs>12</Paragraphs>
  <TotalTime>0</TotalTime>
  <ScaleCrop>false</ScaleCrop>
  <LinksUpToDate>false</LinksUpToDate>
  <CharactersWithSpaces>6689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2021-06-17T03:19:00Z</dcterms:created>
  <dc:creator>慈展会组委会办公室</dc:creator>
  <cp:lastModifiedBy>左岸</cp:lastModifiedBy>
  <cp:lastPrinted>2023-08-04T08:21:00Z</cp:lastPrinted>
  <dcterms:modified xsi:type="dcterms:W3CDTF">2023-08-06T10:05:33Z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4C3339373A544851BB8788FEC11DFCAE_13</vt:lpwstr>
  </property>
</Properties>
</file>